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FD" w:rsidRPr="000A303A" w:rsidRDefault="000A303A">
      <w:pPr>
        <w:spacing w:before="600"/>
        <w:jc w:val="center"/>
        <w:rPr>
          <w:rFonts w:ascii="Times New Roman" w:hAnsi="Times New Roman" w:cs="Times New Roman"/>
          <w:sz w:val="32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32"/>
          <w:szCs w:val="24"/>
          <w:lang w:val="hr-HR"/>
        </w:rPr>
        <w:t>IZVJEŠTAJ O PROVEDENOM ISTRAŽIVANJU</w:t>
      </w:r>
    </w:p>
    <w:p w:rsidR="009E0CFD" w:rsidRPr="000A303A" w:rsidRDefault="000A303A">
      <w:pPr>
        <w:spacing w:after="120"/>
        <w:jc w:val="center"/>
        <w:rPr>
          <w:rFonts w:ascii="Times New Roman" w:hAnsi="Times New Roman" w:cs="Times New Roman"/>
          <w:sz w:val="28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8"/>
          <w:szCs w:val="24"/>
          <w:lang w:val="hr-HR"/>
        </w:rPr>
        <w:t>Projekt: Pametni laboratorij – STEM integracija za budućnost</w:t>
      </w:r>
    </w:p>
    <w:p w:rsidR="009E0CFD" w:rsidRPr="000A303A" w:rsidRDefault="000A303A">
      <w:pPr>
        <w:spacing w:after="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555555"/>
          <w:sz w:val="24"/>
          <w:szCs w:val="24"/>
          <w:lang w:val="hr-HR"/>
        </w:rPr>
        <w:t>Anketa za učitelje — vrednovanje projektnih aktivnosti</w:t>
      </w:r>
    </w:p>
    <w:p w:rsidR="009E0CFD" w:rsidRPr="000A303A" w:rsidRDefault="000A303A">
      <w:pPr>
        <w:spacing w:after="600"/>
        <w:jc w:val="center"/>
        <w:rPr>
          <w:rFonts w:ascii="Times New Roman" w:hAnsi="Times New Roman" w:cs="Times New Roman"/>
          <w:color w:val="888888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888888"/>
          <w:sz w:val="24"/>
          <w:szCs w:val="24"/>
          <w:lang w:val="hr-HR"/>
        </w:rPr>
        <w:t>Datum prikupljanja podataka: 8. i 9. lipnja 2026. | Broj ispitanika: 6 (sudionici projekta)</w:t>
      </w:r>
    </w:p>
    <w:p w:rsidR="000A303A" w:rsidRPr="000A303A" w:rsidRDefault="00610483" w:rsidP="000A303A">
      <w:pPr>
        <w:spacing w:after="100" w:afterAutospacing="1"/>
        <w:jc w:val="right"/>
        <w:rPr>
          <w:rFonts w:ascii="Times New Roman" w:hAnsi="Times New Roman" w:cs="Times New Roman"/>
          <w:i/>
          <w:color w:val="888888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888888"/>
          <w:sz w:val="24"/>
          <w:szCs w:val="24"/>
          <w:lang w:val="hr-HR"/>
        </w:rPr>
        <w:t xml:space="preserve">Istraživanje provele: </w:t>
      </w:r>
    </w:p>
    <w:p w:rsidR="000A303A" w:rsidRPr="000A303A" w:rsidRDefault="00610483" w:rsidP="000A303A">
      <w:pPr>
        <w:spacing w:after="100" w:afterAutospacing="1"/>
        <w:jc w:val="right"/>
        <w:rPr>
          <w:rFonts w:ascii="Times New Roman" w:hAnsi="Times New Roman" w:cs="Times New Roman"/>
          <w:i/>
          <w:color w:val="888888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888888"/>
          <w:sz w:val="24"/>
          <w:szCs w:val="24"/>
          <w:lang w:val="hr-HR"/>
        </w:rPr>
        <w:t xml:space="preserve">Ivana Pavlin, stručni suradnik knjižničar i </w:t>
      </w:r>
    </w:p>
    <w:p w:rsidR="00610483" w:rsidRPr="000A303A" w:rsidRDefault="00610483" w:rsidP="000A303A">
      <w:pPr>
        <w:spacing w:after="100" w:afterAutospacing="1"/>
        <w:jc w:val="right"/>
        <w:rPr>
          <w:rFonts w:ascii="Times New Roman" w:hAnsi="Times New Roman" w:cs="Times New Roman"/>
          <w:i/>
          <w:color w:val="888888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888888"/>
          <w:sz w:val="24"/>
          <w:szCs w:val="24"/>
          <w:lang w:val="hr-HR"/>
        </w:rPr>
        <w:t>Monika Pavić, učiteljica biologije i kemije</w:t>
      </w:r>
    </w:p>
    <w:p w:rsidR="00610483" w:rsidRPr="000A303A" w:rsidRDefault="00610483" w:rsidP="00610483">
      <w:pPr>
        <w:spacing w:after="600"/>
        <w:jc w:val="center"/>
        <w:rPr>
          <w:rFonts w:ascii="Times New Roman" w:hAnsi="Times New Roman" w:cs="Times New Roman"/>
          <w:color w:val="888888"/>
          <w:sz w:val="24"/>
          <w:szCs w:val="24"/>
          <w:lang w:val="hr-HR"/>
        </w:rPr>
      </w:pPr>
    </w:p>
    <w:p w:rsidR="004A0F00" w:rsidRPr="000A303A" w:rsidRDefault="004A0F00" w:rsidP="004A0F00">
      <w:pPr>
        <w:spacing w:after="600"/>
        <w:rPr>
          <w:rFonts w:ascii="Times New Roman" w:hAnsi="Times New Roman" w:cs="Times New Roman"/>
          <w:color w:val="888888"/>
          <w:sz w:val="24"/>
          <w:szCs w:val="24"/>
          <w:lang w:val="hr-HR"/>
        </w:rPr>
      </w:pPr>
    </w:p>
    <w:p w:rsidR="009E0CFD" w:rsidRPr="000A303A" w:rsidRDefault="000A30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9E0CFD" w:rsidRPr="000A303A" w:rsidRDefault="000A303A">
      <w:pPr>
        <w:pBdr>
          <w:bottom w:val="single" w:sz="6" w:space="0" w:color="1F5C99"/>
        </w:pBdr>
        <w:spacing w:before="360" w:after="120"/>
        <w:rPr>
          <w:rFonts w:ascii="Times New Roman" w:hAnsi="Times New Roman" w:cs="Times New Roman"/>
          <w:sz w:val="28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8"/>
          <w:szCs w:val="24"/>
          <w:lang w:val="hr-HR"/>
        </w:rPr>
        <w:lastRenderedPageBreak/>
        <w:t>1. Uvod i kontekst istraživanja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Projekt Pametni laboratorij – STEM integracija za budućnost multidisciplinarni je obrazovni projekt namijenjen radu s darovitim učenicima koji žele istraživati prirodne i kemijske pojave kroz eksperimentalni, suradnički i digitalno podržani pristup učenju. Projekt je uključivao niz različitih aktivnosti — od školskih radionica i terenskog rada do institucionalne suradnje s Odjelom za kemiju Sveučilišta Josipa Jurja Strossmayera u Osijeku — nudeći bogato i raznovrsno iskustvo i učenicima i učiteljima.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Kako bi se vrednovao doprinos projekta i osigurala kvaliteta budućih aktivnosti, na kraju projektnih aktivnosti provedena je anketa među učiteljima sudionicima. Cilj ankete bio je: (1) procijeniti u kojoj su mjeri projektne aktivnosti doprinijele razvoju kompetencija darovitih učenika, (2) identificirati koje su aktivnosti imale najveći učinak, (3) vrednovati korištenje digitalnih alata u nastavi, (4) ocijeniti suradnju sa Sveučilištem te (5) prikupiti konkretne prijedloge za unapređenje budućih aktivnosti.</w:t>
      </w:r>
    </w:p>
    <w:p w:rsidR="009E0CFD" w:rsidRPr="000A303A" w:rsidRDefault="00272E89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Rezultati ovog istraživanja služit će kao osnova za planiranje sljedeće projektne godine te kao dokumentacija koja potvrđuje obrazovnu vrijednost projekta institucionalnim partnerima i mogućim financijerima.</w:t>
      </w:r>
    </w:p>
    <w:p w:rsidR="009E0CFD" w:rsidRPr="000A303A" w:rsidRDefault="000A303A">
      <w:pPr>
        <w:pBdr>
          <w:bottom w:val="single" w:sz="6" w:space="0" w:color="1F5C99"/>
        </w:pBdr>
        <w:spacing w:before="360" w:after="120"/>
        <w:rPr>
          <w:rFonts w:ascii="Times New Roman" w:hAnsi="Times New Roman" w:cs="Times New Roman"/>
          <w:sz w:val="28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8"/>
          <w:szCs w:val="24"/>
          <w:lang w:val="hr-HR"/>
        </w:rPr>
        <w:t>2. Metodologija</w:t>
      </w: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t>2.1. Instrument istraživanja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Kao instrument istraživanja upotrijebljen je strukturirani online upitnik izrađen u Google Formsima. Upitnik se sastojao od sedam pitanja različitog tipa: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Dva pitanja s Likertovom skalom od 1 do 5 (procjena doprinosa kompetencijama učenika i doprinos digitalnih alata nastavi)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 pitanje višestrukog odabira (aktivnosti s najvećim učinkom)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 pitanje s jednim odabirom (ocjena suradnje sa Sveučilištem)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 pitanje s jednim odabirom (doprinos CUC-a profesionalnom razvoju)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 pitanje s Likertovom skalom od 1 do 5 (organizacija i provedba projekta)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 otvoreno pitanje (prijedlozi za poboljšanje)</w:t>
      </w:r>
    </w:p>
    <w:p w:rsidR="009E0CFD" w:rsidRPr="000A303A" w:rsidRDefault="009E0CFD">
      <w:pPr>
        <w:spacing w:after="40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t>2.2. Uzorak i prikupljanje podataka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Anketa je poslana svim učiteljima koji su sudjelovali u projektnim aktivnostima. Odgovori su prikupljani 8. i 9. lipnja 2026. godine. Ukupno je anketu u potpunosti ispunilo 6 ispitanika. Anketa je anonimna te demografski podatci ispitanika (dob, predmet poučavanja, radno iskustvo) nisu prikupljeni kako bi se očuvala anonimnost i potaknula iskrenost odgovora.</w:t>
      </w:r>
    </w:p>
    <w:p w:rsidR="00272E89" w:rsidRPr="000A303A" w:rsidRDefault="00272E89">
      <w:pPr>
        <w:spacing w:after="160" w:line="300" w:lineRule="exact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</w:p>
    <w:p w:rsidR="00272E89" w:rsidRPr="000A303A" w:rsidRDefault="00272E89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lastRenderedPageBreak/>
        <w:t>2.3. Obrada podataka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Kvantitativni podatci obrađeni su deskriptivnom statistikom — izračunate su frekvencije i prosječne vrijednosti na Likertovim skalama. Odgovori na pitanje višestrukog odabira prikazani su kao frekvencije. Otvoreni odgovori analizirani su kvalitativno — prepoznate su ponavljajuće teme i ključne poruke učitelja. Napomena: zbog malog uzorka (N = 6) rezultati se ne mogu generalizirati na širu populaciju, ali dobro prikazuju stavove projektnog tima.</w:t>
      </w:r>
    </w:p>
    <w:p w:rsidR="009E0CFD" w:rsidRPr="000A303A" w:rsidRDefault="000A303A">
      <w:pPr>
        <w:pBdr>
          <w:bottom w:val="single" w:sz="6" w:space="0" w:color="1F5C99"/>
        </w:pBdr>
        <w:spacing w:before="360" w:after="120"/>
        <w:rPr>
          <w:rFonts w:ascii="Times New Roman" w:hAnsi="Times New Roman" w:cs="Times New Roman"/>
          <w:sz w:val="28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8"/>
          <w:szCs w:val="24"/>
          <w:lang w:val="hr-HR"/>
        </w:rPr>
        <w:t>3. Opis uzorka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U istraživanju je sudjelovalo 6 učitelja koji su bili aktivni sudionici projekta. Svi ispitanici ispunili su anketu u cijelosti — stopa odgovora bila je 100 % među učiteljima kojima je anketa distribuirana. Odgovori su pristigli u dva navrata: pet odgovora 8. lipnja 2026. (jutarnji i poslijepodnevni sati) te jedan odgovor 9. lipnja 2026., što govori o visokoj motiviranosti i dostupnosti učitelja.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Budući da uzorak čini cijeli projektni tim, rezultati su reprezentativni za ovaj projekt, ali ne i za širu populaciju učitelja.</w:t>
      </w:r>
    </w:p>
    <w:p w:rsidR="009E0CFD" w:rsidRPr="000A303A" w:rsidRDefault="000A303A">
      <w:pPr>
        <w:pBdr>
          <w:bottom w:val="single" w:sz="6" w:space="0" w:color="1F5C99"/>
        </w:pBdr>
        <w:spacing w:before="360" w:after="120"/>
        <w:rPr>
          <w:rFonts w:ascii="Times New Roman" w:hAnsi="Times New Roman" w:cs="Times New Roman"/>
          <w:sz w:val="28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8"/>
          <w:szCs w:val="24"/>
          <w:lang w:val="hr-HR"/>
        </w:rPr>
        <w:t>4. Rezultati istraživanja i interpretacija</w:t>
      </w: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t>4.1. Doprinos projektnih aktivnosti razvoju kompetencija darovitih učenika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Pitanje: 'U kojoj mjeri smatrate da su projektne aktivnosti doprinijele razvoju kompetencija darovitih učenika?' (skala 1 = niti malo, 5 = u velikoj mjeri)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2835"/>
        <w:gridCol w:w="1984"/>
        <w:gridCol w:w="1984"/>
      </w:tblGrid>
      <w:tr w:rsidR="009E0CFD" w:rsidRPr="000A303A">
        <w:tc>
          <w:tcPr>
            <w:tcW w:w="113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Ocjena</w:t>
            </w:r>
          </w:p>
        </w:tc>
        <w:tc>
          <w:tcPr>
            <w:tcW w:w="2835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Opis</w:t>
            </w:r>
          </w:p>
        </w:tc>
        <w:tc>
          <w:tcPr>
            <w:tcW w:w="198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Broj ispitanika</w:t>
            </w:r>
          </w:p>
        </w:tc>
        <w:tc>
          <w:tcPr>
            <w:tcW w:w="198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Postotak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Niti malo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—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Djelomično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Značajno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velikoj mjeri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—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</w:tbl>
    <w:p w:rsidR="009E0CFD" w:rsidRPr="000A303A" w:rsidRDefault="009E0CFD">
      <w:pPr>
        <w:spacing w:after="80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4"/>
          <w:szCs w:val="24"/>
          <w:lang w:val="hr-HR"/>
        </w:rPr>
        <w:t>Aritmetička sredina: 5,00 / 5,00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Interpretacija: Ovakav rezultat iznimno je rijedak u obrazovnim evaluacijama. Svi učitelji smatraju da su projektne aktivnosti u najvećoj mogućoj mjeri pridonijele razvoju kompetencija darovitih učenika. To pokazuje da je projekt bio dobro prilagođen potrebama i mogućnostima — darovitih učenika kojima standardni kurikulum često nije dovoljno izazovan. Prema mišljenju učitelja, aktivnosti su potaknule radoznalost, razvile istraživačke vještine i pomogle učenicima primijeniti znanje u praksi.</w:t>
      </w:r>
    </w:p>
    <w:p w:rsidR="009E0CFD" w:rsidRPr="000A303A" w:rsidRDefault="00272E89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lastRenderedPageBreak/>
        <w:t>4.2. Aktivnosti s najvećim učinkom na učenike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Pitanje: 'Koje su aktivnosti po vašem mišljenju imale najveći učinak na učenike?' (moguće više odabira)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9"/>
        <w:gridCol w:w="1701"/>
        <w:gridCol w:w="1701"/>
      </w:tblGrid>
      <w:tr w:rsidR="009E0CFD" w:rsidRPr="000A303A">
        <w:tc>
          <w:tcPr>
            <w:tcW w:w="5669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Aktivnost</w:t>
            </w:r>
          </w:p>
        </w:tc>
        <w:tc>
          <w:tcPr>
            <w:tcW w:w="1701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Broj odabira</w:t>
            </w:r>
          </w:p>
        </w:tc>
        <w:tc>
          <w:tcPr>
            <w:tcW w:w="1701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% ispitanika</w:t>
            </w:r>
          </w:p>
        </w:tc>
      </w:tr>
      <w:tr w:rsidR="009E0CFD" w:rsidRPr="000A303A">
        <w:tc>
          <w:tcPr>
            <w:tcW w:w="5669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Školske radionice (pH, lava lampa, indikatori...)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  <w:tr w:rsidR="009E0CFD" w:rsidRPr="000A303A">
        <w:tc>
          <w:tcPr>
            <w:tcW w:w="5669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Radionice na Odjelu za kemiju u Osijeku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  <w:tr w:rsidR="009E0CFD" w:rsidRPr="000A303A">
        <w:tc>
          <w:tcPr>
            <w:tcW w:w="5669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Terenska nastava u Kopačkom ritu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83 %</w:t>
            </w:r>
          </w:p>
        </w:tc>
      </w:tr>
      <w:tr w:rsidR="009E0CFD" w:rsidRPr="000A303A">
        <w:tc>
          <w:tcPr>
            <w:tcW w:w="5669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Korištenje digitalnih alata i aplikacija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83 %</w:t>
            </w:r>
          </w:p>
        </w:tc>
      </w:tr>
      <w:tr w:rsidR="009E0CFD" w:rsidRPr="000A303A">
        <w:tc>
          <w:tcPr>
            <w:tcW w:w="5669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Suradničko učenje u grupama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</w:tbl>
    <w:p w:rsidR="009E0CFD" w:rsidRPr="000A303A" w:rsidRDefault="009E0CFD">
      <w:pPr>
        <w:spacing w:after="80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Interpretacija: Sve tri aktivnosti svi su učitelji (100 %) prepoznali kao iznimno utjecajne: školske radionice, radionice na Odjelu za kemiju u Osijeku i suradničko učenje u grupama. To govori da projektni pristup — koji kombinira vlastiti eksperiment u školskom okruženju, posjet akademskoj instituciji i timski rad među učenicima — funkcionira kao cjelina — nijedna aktivnost ne bi bila toliko učinkovita sama za sebe.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Terenska nastava u Kopačkom ritu i digitalni alati odabrani su u 83 % slučajeva (5 od 6 ispitanika). Jedan učitelj nije uključio ove dvije aktivnosti u svoj odgovor, no to ne znači negativnu ocjenu — ispitanici su birali što smatraju NAJUTJECAJNIJIM, a ne ocjenjivali svaku aktivnost zasebno. Sve su aktivnosti dakle visoko prepoznate među učiteljima.</w:t>
      </w: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t>4.3. Doprinos digitalnih alata unapređenju nastave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Pitanje: 'U kojoj mjeri su digitalni alati (aplikacije, Excel, senzori) unaprijedili nastavu?' (skala 1 = niti malo, 5 = u velikoj mjeri)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2835"/>
        <w:gridCol w:w="1984"/>
        <w:gridCol w:w="1984"/>
      </w:tblGrid>
      <w:tr w:rsidR="009E0CFD" w:rsidRPr="000A303A">
        <w:tc>
          <w:tcPr>
            <w:tcW w:w="113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Ocjena</w:t>
            </w:r>
          </w:p>
        </w:tc>
        <w:tc>
          <w:tcPr>
            <w:tcW w:w="2835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Opis</w:t>
            </w:r>
          </w:p>
        </w:tc>
        <w:tc>
          <w:tcPr>
            <w:tcW w:w="198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Broj ispitanika</w:t>
            </w:r>
          </w:p>
        </w:tc>
        <w:tc>
          <w:tcPr>
            <w:tcW w:w="198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Postotak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Niti malo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—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Umjereno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Značajno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17 %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velikoj mjeri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83 %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—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</w:tbl>
    <w:p w:rsidR="009E0CFD" w:rsidRPr="000A303A" w:rsidRDefault="009E0CFD">
      <w:pPr>
        <w:spacing w:after="80"/>
        <w:rPr>
          <w:rFonts w:ascii="Times New Roman" w:hAnsi="Times New Roman" w:cs="Times New Roman"/>
          <w:sz w:val="24"/>
          <w:szCs w:val="24"/>
          <w:lang w:val="hr-HR"/>
        </w:rPr>
      </w:pPr>
    </w:p>
    <w:p w:rsidR="000A303A" w:rsidRDefault="000A303A">
      <w:pPr>
        <w:spacing w:after="160" w:line="300" w:lineRule="exact"/>
        <w:jc w:val="both"/>
        <w:rPr>
          <w:rFonts w:ascii="Times New Roman" w:hAnsi="Times New Roman" w:cs="Times New Roman"/>
          <w:b/>
          <w:color w:val="1F5C99"/>
          <w:sz w:val="24"/>
          <w:szCs w:val="24"/>
          <w:lang w:val="hr-HR"/>
        </w:rPr>
      </w:pPr>
    </w:p>
    <w:p w:rsidR="00567FBF" w:rsidRDefault="00567FBF">
      <w:pPr>
        <w:spacing w:after="160" w:line="300" w:lineRule="exact"/>
        <w:jc w:val="both"/>
        <w:rPr>
          <w:rFonts w:ascii="Times New Roman" w:hAnsi="Times New Roman" w:cs="Times New Roman"/>
          <w:b/>
          <w:color w:val="1F5C99"/>
          <w:sz w:val="24"/>
          <w:szCs w:val="24"/>
          <w:lang w:val="hr-HR"/>
        </w:rPr>
      </w:pPr>
    </w:p>
    <w:p w:rsidR="00567FBF" w:rsidRDefault="00567FBF">
      <w:pPr>
        <w:spacing w:after="160" w:line="300" w:lineRule="exact"/>
        <w:jc w:val="both"/>
        <w:rPr>
          <w:rFonts w:ascii="Times New Roman" w:hAnsi="Times New Roman" w:cs="Times New Roman"/>
          <w:b/>
          <w:color w:val="1F5C99"/>
          <w:sz w:val="24"/>
          <w:szCs w:val="24"/>
          <w:lang w:val="hr-HR"/>
        </w:rPr>
      </w:pP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4"/>
          <w:szCs w:val="24"/>
          <w:lang w:val="hr-HR"/>
        </w:rPr>
        <w:lastRenderedPageBreak/>
        <w:t>Aritmetička sredina: 4,83 / 5,00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Interpretacija: Digitalni alati ocijenjeni su kao izrazito korisni u nastavi. Pet od šest učitelja dodijelilo je maksimalnu ocjenu, dok je jedan učitelj dodijelio ocjenu 4 — i to je jedina razlika od savršenog rezultata. Ovaj nalaz potvrđuje da senzori, programi za obradu podataka i interaktivne aplikacije nisu bili samo ukras projektu — učitelji ih prepoznaju kao koristan pedagoški alat koji obogaćuje nastavu. Digitalni alati posebno su vrijedni u radu s darovitim učenicima jer im omogućuju istraživanje pojava na način koji inače nije dostupan u redovnoj nastavi.</w:t>
      </w: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t>4.4. Ocjena suradnje s Odjelom za kemiju Sveučilišta J. J. Strossmayera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Pitanje: 'Kako ocjenjujete suradnju s Odjelom za kemiju Sveučilišta J. J. Strossmayera?'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9"/>
        <w:gridCol w:w="1701"/>
        <w:gridCol w:w="1701"/>
      </w:tblGrid>
      <w:tr w:rsidR="009E0CFD" w:rsidRPr="000A303A">
        <w:tc>
          <w:tcPr>
            <w:tcW w:w="5669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Ocjena suradnje</w:t>
            </w:r>
          </w:p>
        </w:tc>
        <w:tc>
          <w:tcPr>
            <w:tcW w:w="1701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Broj ispitanika</w:t>
            </w:r>
          </w:p>
        </w:tc>
        <w:tc>
          <w:tcPr>
            <w:tcW w:w="1701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Postotak</w:t>
            </w:r>
          </w:p>
        </w:tc>
      </w:tr>
      <w:tr w:rsidR="009E0CFD" w:rsidRPr="000A303A">
        <w:tc>
          <w:tcPr>
            <w:tcW w:w="5669" w:type="dxa"/>
            <w:shd w:val="clear" w:color="auto" w:fill="EBF2FA"/>
          </w:tcPr>
          <w:p w:rsidR="009E0CFD" w:rsidRPr="000A303A" w:rsidRDefault="00A325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Odlična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  <w:tr w:rsidR="009E0CFD" w:rsidRPr="000A303A">
        <w:tc>
          <w:tcPr>
            <w:tcW w:w="5669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Dobra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5669" w:type="dxa"/>
            <w:shd w:val="clear" w:color="auto" w:fill="EBF2FA"/>
          </w:tcPr>
          <w:p w:rsidR="009E0CFD" w:rsidRPr="000A303A" w:rsidRDefault="00A325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Zadovoljavajuća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5669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Mogla je biti bolja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</w:tbl>
    <w:p w:rsidR="009E0CFD" w:rsidRPr="000A303A" w:rsidRDefault="009E0CFD">
      <w:pPr>
        <w:spacing w:after="80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Interpretacija: Jednoglasna ocjena 'Odlična' za suradnju s akademskom institucijom posebno je značajan nalaz. Rijetko se u evaluacijama dogodi da svi ispitanici odaberu maksimalnu ocjenu za suradnju s institucijom, koja uključuje logistiku, prilagodbu sadržaja uzrastu učenika, usklađivanje termina i angažman akademskog osoblja. To govori da je Odjel za kemiju bio ne samo dostupan, nego i aktivan, fleksibilan i iskreno zainteresiran za dobrobit učenika. Takva suradnja dobar je temelj za dugoročno partnerstvo i može biti primjer za druge škole i sveučilišne odjele.</w:t>
      </w: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t>4.5. Doprinos sudjelovanja na CUC-u profesionalnom razvoju učitelja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Pitanje: 'Je li sudjelovanje na CUC-u doprinijelo vašem profesionalnom razvoju u radu s darovitim učenicima?'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9"/>
        <w:gridCol w:w="1701"/>
        <w:gridCol w:w="1701"/>
      </w:tblGrid>
      <w:tr w:rsidR="009E0CFD" w:rsidRPr="000A303A">
        <w:tc>
          <w:tcPr>
            <w:tcW w:w="5669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Odgovor</w:t>
            </w:r>
          </w:p>
        </w:tc>
        <w:tc>
          <w:tcPr>
            <w:tcW w:w="1701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Broj ispitanika</w:t>
            </w:r>
          </w:p>
        </w:tc>
        <w:tc>
          <w:tcPr>
            <w:tcW w:w="1701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Postotak</w:t>
            </w:r>
          </w:p>
        </w:tc>
      </w:tr>
      <w:tr w:rsidR="009E0CFD" w:rsidRPr="000A303A">
        <w:tc>
          <w:tcPr>
            <w:tcW w:w="5669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Da, značajno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50 %</w:t>
            </w:r>
          </w:p>
        </w:tc>
      </w:tr>
      <w:tr w:rsidR="009E0CFD" w:rsidRPr="000A303A">
        <w:tc>
          <w:tcPr>
            <w:tcW w:w="5669" w:type="dxa"/>
            <w:shd w:val="clear" w:color="auto" w:fill="FFFFFF"/>
          </w:tcPr>
          <w:p w:rsidR="009E0CFD" w:rsidRPr="000A303A" w:rsidRDefault="0066664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Djelomično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5669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Nisam primijetio/la razliku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701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5669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Nisam sudjelovao/la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50 %</w:t>
            </w:r>
          </w:p>
        </w:tc>
      </w:tr>
    </w:tbl>
    <w:p w:rsidR="009E0CFD" w:rsidRPr="000A303A" w:rsidRDefault="009E0CFD">
      <w:pPr>
        <w:spacing w:after="80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Interpretacija: Točno pola ispitanika (3 od 6) nije sudjelovalo na CUC-u (Carnet Users Conference). Ključni je nalaz što niti jedan učitelj koji jest sudjelovao na CUC-u nije odabrao </w:t>
      </w: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odgovor 'nisam primijetio razliku' ili 'djelomično'. Svi koji su bili sudionici procijenili su da im je to iskustvo značajno pridonijelo profesionalnom razvoju u radu s darovitim učenicima. To upućuje na to da je CUC vrijedan oblik stručnog usavršavanja za učitelje koji rade s darovitima, te da bi trebalo potaknuti što više učitelja na sudjelovanje u budućim ciklusima.</w:t>
      </w:r>
    </w:p>
    <w:p w:rsidR="00666646" w:rsidRPr="000A303A" w:rsidRDefault="00666646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t>4.6. Ocjena organizacije i provedbe projekta u cjelini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Pitanje: 'Kako ocjenjujete organizaciju i provedbu projekta u cjelini?' (skala 1 = loše, 5 = odlično)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2835"/>
        <w:gridCol w:w="1984"/>
        <w:gridCol w:w="1984"/>
      </w:tblGrid>
      <w:tr w:rsidR="009E0CFD" w:rsidRPr="000A303A">
        <w:tc>
          <w:tcPr>
            <w:tcW w:w="113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Ocjena</w:t>
            </w:r>
          </w:p>
        </w:tc>
        <w:tc>
          <w:tcPr>
            <w:tcW w:w="2835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Opis</w:t>
            </w:r>
          </w:p>
        </w:tc>
        <w:tc>
          <w:tcPr>
            <w:tcW w:w="198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Broj ispitanika</w:t>
            </w:r>
          </w:p>
        </w:tc>
        <w:tc>
          <w:tcPr>
            <w:tcW w:w="1984" w:type="dxa"/>
            <w:shd w:val="clear" w:color="auto" w:fill="1F5C99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hr-HR"/>
              </w:rPr>
              <w:t>Postotak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66664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Loše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—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66664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Prosječno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Dobro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0 %</w:t>
            </w:r>
          </w:p>
        </w:tc>
      </w:tr>
      <w:tr w:rsidR="009E0CFD" w:rsidRPr="000A303A">
        <w:tc>
          <w:tcPr>
            <w:tcW w:w="1134" w:type="dxa"/>
            <w:shd w:val="clear" w:color="auto" w:fill="EBF2FA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2835" w:type="dxa"/>
            <w:shd w:val="clear" w:color="auto" w:fill="EBF2FA"/>
          </w:tcPr>
          <w:p w:rsidR="009E0CFD" w:rsidRPr="000A303A" w:rsidRDefault="0066664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Odlično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984" w:type="dxa"/>
            <w:shd w:val="clear" w:color="auto" w:fill="EBF2FA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  <w:tr w:rsidR="009E0CFD" w:rsidRPr="000A303A">
        <w:tc>
          <w:tcPr>
            <w:tcW w:w="1134" w:type="dxa"/>
            <w:shd w:val="clear" w:color="auto" w:fill="FFFFFF"/>
          </w:tcPr>
          <w:p w:rsidR="009E0CFD" w:rsidRPr="000A303A" w:rsidRDefault="000A30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835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—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  <w:tc>
          <w:tcPr>
            <w:tcW w:w="1984" w:type="dxa"/>
            <w:shd w:val="clear" w:color="auto" w:fill="FFFFFF"/>
          </w:tcPr>
          <w:p w:rsidR="009E0CFD" w:rsidRPr="000A303A" w:rsidRDefault="000A303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100 %</w:t>
            </w:r>
          </w:p>
        </w:tc>
      </w:tr>
    </w:tbl>
    <w:p w:rsidR="009E0CFD" w:rsidRPr="000A303A" w:rsidRDefault="009E0CFD">
      <w:pPr>
        <w:spacing w:after="80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color w:val="0070C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hr-HR"/>
        </w:rPr>
        <w:t>Aritmetička sredina: 5,00 / 5,00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Interpretacija: Maksimalna ocjena (5,00/5,00) za organizaciju i provedbu projekta potvrđuje da projektni tim radi iznimno profesionalno. Organizirati projekt koji uključuje više lokacija, institucionalnu suradnju, terenski rad, digitalne alate i komunikaciju s roditeljima logistički je zahtjevno. Ocjena svih učitelja potvrđuje da su ti izazovi uspješno savladani. Za učitelje koji rade u uvjetima koji često ne pružaju dovoljno resursa, ovakva organizacijska podrška posebno je važna i motivirajuća.</w:t>
      </w:r>
    </w:p>
    <w:p w:rsidR="009E0CFD" w:rsidRPr="000A303A" w:rsidRDefault="000A303A">
      <w:pPr>
        <w:spacing w:before="240"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2E75B6"/>
          <w:sz w:val="24"/>
          <w:szCs w:val="24"/>
          <w:lang w:val="hr-HR"/>
        </w:rPr>
        <w:t>4.7. Prijedlozi za poboljšanje i nastavak projekta</w:t>
      </w:r>
    </w:p>
    <w:p w:rsidR="009E0CFD" w:rsidRPr="000A303A" w:rsidRDefault="00AB7FA2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Pitanje: 'Što biste preporučili za poboljšanje ili nastavak projekta u sljedećoj školskoj godini?'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555555"/>
          <w:sz w:val="24"/>
          <w:szCs w:val="24"/>
          <w:lang w:val="hr-HR"/>
        </w:rPr>
        <w:t>Slijede izvorni odgovori ispitanika te njihova interpretacija:</w:t>
      </w:r>
    </w:p>
    <w:p w:rsidR="009E0CFD" w:rsidRPr="000A303A" w:rsidRDefault="009E0CFD">
      <w:pPr>
        <w:spacing w:after="40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AB7FA2">
      <w:pPr>
        <w:spacing w:after="40"/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2E75B6"/>
          <w:sz w:val="24"/>
          <w:szCs w:val="24"/>
          <w:lang w:val="hr-HR"/>
        </w:rPr>
        <w:t>"Možda još jednu dodatnu suradnju s vanjskim stručnjacima."</w:t>
      </w:r>
    </w:p>
    <w:p w:rsidR="009E0CFD" w:rsidRPr="000A303A" w:rsidRDefault="000A303A">
      <w:pPr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Komentar: Učitelj prepoznaje vrijednost vanjske stručnosti i predlaže proširenje suradnje — primjerice na stručnjake iz industrije, instituta ili srodnih odjela.</w:t>
      </w:r>
    </w:p>
    <w:p w:rsidR="009E0CFD" w:rsidRPr="000A303A" w:rsidRDefault="000A303A">
      <w:pPr>
        <w:spacing w:after="40"/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2E75B6"/>
          <w:sz w:val="24"/>
          <w:szCs w:val="24"/>
          <w:lang w:val="hr-HR"/>
        </w:rPr>
        <w:t>"Nastaviti s projektom i dalje. Pozvati bivše učenike koji su uspješni u nekom području."</w:t>
      </w:r>
    </w:p>
    <w:p w:rsidR="009E0CFD" w:rsidRPr="000A303A" w:rsidRDefault="000A303A">
      <w:pPr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Komentar: Prijedlog za uvođenje mentorskog modela: bivši učenici kao uzori i mentori novim generacijama. Takav pristup jača motivaciju i daje učenicima konkretne uzore iz vlastitog okruženja.</w:t>
      </w:r>
    </w:p>
    <w:p w:rsidR="009E0CFD" w:rsidRPr="000A303A" w:rsidRDefault="00AB7FA2">
      <w:pPr>
        <w:spacing w:after="40"/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2E75B6"/>
          <w:sz w:val="24"/>
          <w:szCs w:val="24"/>
          <w:lang w:val="hr-HR"/>
        </w:rPr>
        <w:lastRenderedPageBreak/>
        <w:t>"Sve je bilo odlično osmišljeno i odrađeno."</w:t>
      </w:r>
    </w:p>
    <w:p w:rsidR="009E0CFD" w:rsidRPr="000A303A" w:rsidRDefault="00AB7FA2">
      <w:pPr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Komentar: Izričita potvrda zadovoljstva bez prijedloga za promjenu. Taj odgovor nije nedostatak kritičnosti — već iskren izraz zadovoljstva učitelja koji je projekt doživio iznutra.</w:t>
      </w:r>
    </w:p>
    <w:p w:rsidR="009E0CFD" w:rsidRPr="000A303A" w:rsidRDefault="000A303A">
      <w:pPr>
        <w:spacing w:after="40"/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2E75B6"/>
          <w:sz w:val="24"/>
          <w:szCs w:val="24"/>
          <w:lang w:val="hr-HR"/>
        </w:rPr>
        <w:t>"— (bez odgovora)"</w:t>
      </w:r>
    </w:p>
    <w:p w:rsidR="009E0CFD" w:rsidRPr="000A303A" w:rsidRDefault="000A303A">
      <w:pPr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Komentar: Jedan ispitanik nije ostavio komentar.</w:t>
      </w:r>
    </w:p>
    <w:p w:rsidR="009E0CFD" w:rsidRPr="000A303A" w:rsidRDefault="000A303A">
      <w:pPr>
        <w:spacing w:after="40"/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2E75B6"/>
          <w:sz w:val="24"/>
          <w:szCs w:val="24"/>
          <w:lang w:val="hr-HR"/>
        </w:rPr>
        <w:t>"Sve ponoviti jednako."</w:t>
      </w:r>
    </w:p>
    <w:p w:rsidR="009E0CFD" w:rsidRPr="000A303A" w:rsidRDefault="00AB7FA2">
      <w:pPr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Komentar: Jasnija preporuka ne postoji: projekt je uspio i ne treba ga mijenjati — dovoljan razlog za nastavak bez strukturnih promjena.</w:t>
      </w:r>
    </w:p>
    <w:p w:rsidR="009E0CFD" w:rsidRPr="000A303A" w:rsidRDefault="000A303A">
      <w:pPr>
        <w:spacing w:after="40"/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2E75B6"/>
          <w:sz w:val="24"/>
          <w:szCs w:val="24"/>
          <w:lang w:val="hr-HR"/>
        </w:rPr>
        <w:t>"Bilo je prekrasno raditi na ovom projektu s darovitim učenicima."</w:t>
      </w:r>
    </w:p>
    <w:p w:rsidR="009E0CFD" w:rsidRPr="000A303A" w:rsidRDefault="000A303A">
      <w:pPr>
        <w:ind w:left="567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Komentar: Ovaj emotivni osvrt otkriva osobnu uključenost učitelja u projekt — što je možda najvrjedniji pokazatelj uspjeha.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Otvoreni odgovori pokazuju tri dominantne teme: (1) želja za nastavkom projekta u istom obliku, (2) interes za više vanjske suradnje i uključivanje bivših učenika te (3) osobna emotivna povezanost učitelja s projektom. Sve su to iznimno pozitivni signali za sljedeću projektnu godinu.</w:t>
      </w:r>
    </w:p>
    <w:p w:rsidR="009E0CFD" w:rsidRPr="000A303A" w:rsidRDefault="000A303A">
      <w:pPr>
        <w:pBdr>
          <w:bottom w:val="single" w:sz="6" w:space="0" w:color="1F5C99"/>
        </w:pBdr>
        <w:spacing w:before="360" w:after="120"/>
        <w:rPr>
          <w:rFonts w:ascii="Times New Roman" w:hAnsi="Times New Roman" w:cs="Times New Roman"/>
          <w:sz w:val="28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8"/>
          <w:szCs w:val="24"/>
          <w:lang w:val="hr-HR"/>
        </w:rPr>
        <w:t>5. Rasprava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Ukupni rezultati ankete prikazuju projekt Pametni laboratorij u iznimno povoljnom svjetlu. Nije riječ o jednom visokom rezultatu — ocjene su dosljedno visoke u svim mjerenim dimenzijama, što isključuje slučajnost ili pristranu percepciju.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Posebno je uočljiva dosljednost u odgovorima. Na sva tri pitanja s Likertovom skalom (doprinos kompetencijama, digitalni alati, organizacija projekta) svi su ispitanici zaokružili ocjenu 4 ili 5 — a više od 80 % njih ocijenilo je sve tri dimenzije s maksimalnom ocjenom 5. Takva jednoličnost stavova u evaluacijama obično znači da kvaliteta projekta nije bila slučajna — bio je to konzistentan doživljaj za cijeli tim.</w:t>
      </w:r>
    </w:p>
    <w:p w:rsidR="009E0CFD" w:rsidRPr="000A303A" w:rsidRDefault="00AB7FA2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Kvalitativni podaci potvrđuju i nadopunjuju kvantitativne nalaze. Otvoreni odgovori ne sadržavaju nikakvu suzdržanu ili negativnu notu — čak ni u obliku konstruktivne kritike. Prijedlozi su samo nadopunjujući (više suradnje, bivši učenici kao mentori), a ne korektivni — što je rijetko u obrazovnim evaluacijama.</w:t>
      </w:r>
    </w:p>
    <w:p w:rsidR="009E0CFD" w:rsidRDefault="000A303A">
      <w:pPr>
        <w:spacing w:after="160" w:line="300" w:lineRule="exact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Zanimljiv je i rezultat pitanja o CUC-u. Pola učitelja nije sudjelovalo na CUC-u, no svi koji jesu primijetili su korist. Projekt pritom jednako dobro funkcionira i bez te dimenzije, što je pozitivno za sve sudionike.</w:t>
      </w:r>
    </w:p>
    <w:p w:rsidR="00567FBF" w:rsidRDefault="00567FBF">
      <w:pPr>
        <w:spacing w:after="160" w:line="300" w:lineRule="exact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</w:p>
    <w:p w:rsidR="00567FBF" w:rsidRPr="000A303A" w:rsidRDefault="00567FBF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9E0CFD" w:rsidRPr="000A303A" w:rsidRDefault="000A303A">
      <w:pPr>
        <w:pBdr>
          <w:bottom w:val="single" w:sz="6" w:space="0" w:color="1F5C99"/>
        </w:pBdr>
        <w:spacing w:before="360" w:after="120"/>
        <w:rPr>
          <w:rFonts w:ascii="Times New Roman" w:hAnsi="Times New Roman" w:cs="Times New Roman"/>
          <w:sz w:val="28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8"/>
          <w:szCs w:val="24"/>
          <w:lang w:val="hr-HR"/>
        </w:rPr>
        <w:lastRenderedPageBreak/>
        <w:t>6. Zaključak i preporuke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Na temelju ankete može se zaključiti da je projekt Pametni laboratorij bio iznimno uspješan u svim ključnim područjima: doprinosu razvoju kompetencija darovitih učenika, kvaliteti i raznolikosti projektnih aktivnosti, integraciji digitalnih alata, institucionalnoj suradnji te organizacijskoj provedbi.</w:t>
      </w: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1F5C99"/>
          <w:sz w:val="24"/>
          <w:szCs w:val="24"/>
          <w:lang w:val="hr-HR"/>
        </w:rPr>
        <w:t>Konkretne preporuke za sljedeću projektnu godinu: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Nastaviti s projektom bez strukturnih promjena — svi učitelji preporučuju nastavak u istom ili proširenom obliku.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Proširiti suradnju s vanjskim stručnjacima — uvesti nova stručna područja, npr. biologiju, fiziku ili industrijsku primjenu kemije.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Uvesti mentorski model — pozvati bivše učenike koji su postigli uspjehe u relevantnim područjima da podijele iskustvo s novim generacijama.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Potaknuti više učitelja na sudjelovanje na CUC-u — s obzirom na jednoglasno pozitivne povratne informacije onih koji su sudjelovali.</w:t>
      </w:r>
    </w:p>
    <w:p w:rsidR="009E0CFD" w:rsidRPr="000A303A" w:rsidRDefault="000A303A">
      <w:pPr>
        <w:pStyle w:val="Grafikeoznake"/>
        <w:spacing w:after="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Provesti sličnu anketu i s učenicima kako bi se dobila šira perspektiva o projektnim aktivnostima.</w:t>
      </w:r>
    </w:p>
    <w:p w:rsidR="009E0CFD" w:rsidRPr="000A303A" w:rsidRDefault="009E0CFD">
      <w:pPr>
        <w:spacing w:after="40"/>
        <w:rPr>
          <w:rFonts w:ascii="Times New Roman" w:hAnsi="Times New Roman" w:cs="Times New Roman"/>
          <w:sz w:val="24"/>
          <w:szCs w:val="24"/>
          <w:lang w:val="hr-HR"/>
        </w:rPr>
      </w:pPr>
    </w:p>
    <w:p w:rsidR="009E0CFD" w:rsidRPr="000A303A" w:rsidRDefault="000A303A">
      <w:pPr>
        <w:spacing w:after="16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hr-HR"/>
        </w:rPr>
        <w:t>Projekt Pametni laboratorij primjer je dobre prakse koji zaslužuje dokumentiranje i preporučuje se za primjenu u drugim školama.</w:t>
      </w:r>
    </w:p>
    <w:p w:rsidR="009E0CFD" w:rsidRPr="000A303A" w:rsidRDefault="009E0CFD">
      <w:pPr>
        <w:spacing w:after="40"/>
        <w:rPr>
          <w:rFonts w:ascii="Times New Roman" w:hAnsi="Times New Roman" w:cs="Times New Roman"/>
          <w:sz w:val="24"/>
          <w:szCs w:val="24"/>
          <w:lang w:val="hr-HR"/>
        </w:rPr>
      </w:pPr>
    </w:p>
    <w:sectPr w:rsidR="009E0CFD" w:rsidRPr="000A303A" w:rsidSect="00034616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303A"/>
    <w:rsid w:val="0015074B"/>
    <w:rsid w:val="00272E89"/>
    <w:rsid w:val="0029639D"/>
    <w:rsid w:val="00326F90"/>
    <w:rsid w:val="004A0F00"/>
    <w:rsid w:val="00567FBF"/>
    <w:rsid w:val="00610483"/>
    <w:rsid w:val="00666646"/>
    <w:rsid w:val="009E0CFD"/>
    <w:rsid w:val="00A325CB"/>
    <w:rsid w:val="00AA1D8D"/>
    <w:rsid w:val="00AB7FA2"/>
    <w:rsid w:val="00B47730"/>
    <w:rsid w:val="00C4525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3074E"/>
  <w14:defaultImageDpi w14:val="300"/>
  <w15:docId w15:val="{9221FA39-2E7C-4EB2-9087-F376CF1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3E30B3-B4BE-44A1-BEA9-01C057F3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1987</Words>
  <Characters>11330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Knjižničar 2</cp:lastModifiedBy>
  <cp:revision>6</cp:revision>
  <dcterms:created xsi:type="dcterms:W3CDTF">2013-12-23T23:15:00Z</dcterms:created>
  <dcterms:modified xsi:type="dcterms:W3CDTF">2026-06-10T11:00:00Z</dcterms:modified>
  <cp:category/>
</cp:coreProperties>
</file>